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240" w:lineRule="auto"/>
        <w:rPr/>
      </w:pPr>
      <w:bookmarkStart w:colFirst="0" w:colLast="0" w:name="_zeivxg1olh48" w:id="0"/>
      <w:bookmarkEnd w:id="0"/>
      <w:r w:rsidDel="00000000" w:rsidR="00000000" w:rsidRPr="00000000">
        <w:rPr>
          <w:rtl w:val="0"/>
        </w:rPr>
        <w:t xml:space="preserve">Política de Gerenciamento de Risco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pageBreakBefore w:val="0"/>
        <w:jc w:val="center"/>
        <w:rPr/>
      </w:pPr>
      <w:bookmarkStart w:colFirst="0" w:colLast="0" w:name="_vzop257m7s3p" w:id="1"/>
      <w:bookmarkEnd w:id="1"/>
      <w:r w:rsidDel="00000000" w:rsidR="00000000" w:rsidRPr="00000000">
        <w:rPr>
          <w:rtl w:val="0"/>
        </w:rPr>
        <w:t xml:space="preserve">2022/1</w:t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legal pela área e política: William Kazuo Yokoi - Sócio Técnico e 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numPr>
          <w:ilvl w:val="0"/>
          <w:numId w:val="1"/>
        </w:numPr>
        <w:shd w:fill="ffffff" w:val="clear"/>
        <w:ind w:left="720" w:hanging="360"/>
        <w:rPr/>
      </w:pPr>
      <w:bookmarkStart w:colFirst="0" w:colLast="0" w:name="_g645bci3iu66" w:id="2"/>
      <w:bookmarkEnd w:id="2"/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ab/>
        <w:t xml:space="preserve">Este documento tem como objetivo ser um guia para as tomadas de risco, a fim de mitigar erros, proteger os colaboradores, o negócio e a saúde financeira.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numPr>
          <w:ilvl w:val="0"/>
          <w:numId w:val="1"/>
        </w:numPr>
        <w:shd w:fill="ffffff" w:val="clear"/>
        <w:ind w:left="720" w:hanging="360"/>
        <w:rPr/>
      </w:pPr>
      <w:bookmarkStart w:colFirst="0" w:colLast="0" w:name="_fs310nj5q9sc" w:id="3"/>
      <w:bookmarkEnd w:id="3"/>
      <w:r w:rsidDel="00000000" w:rsidR="00000000" w:rsidRPr="00000000">
        <w:rPr>
          <w:rtl w:val="0"/>
        </w:rPr>
        <w:t xml:space="preserve">Categorias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 categorias podem incluir: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estratégico ou operacional;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risco de negócio (geral);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risco específico de um setor (ex.: Financeiro; TI; Marketing);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ambiente;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segurança;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reputação;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ageBreakBefore w:val="0"/>
        <w:numPr>
          <w:ilvl w:val="0"/>
          <w:numId w:val="1"/>
        </w:numPr>
        <w:ind w:left="720" w:hanging="360"/>
      </w:pPr>
      <w:bookmarkStart w:colFirst="0" w:colLast="0" w:name="_j78q0nrvr8p8" w:id="4"/>
      <w:bookmarkEnd w:id="4"/>
      <w:r w:rsidDel="00000000" w:rsidR="00000000" w:rsidRPr="00000000">
        <w:rPr>
          <w:rtl w:val="0"/>
        </w:rPr>
        <w:t xml:space="preserve">Registrar Risco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 registro do risco deve especificar o motivo do mesmo. Deve incluir a categoria, o motivo de entrada e saida e o tempo em que deve ser feito a avaliação.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Toda decisão que gere um risco deve ser registrado na plataforma para que seja possível o acompanhamento e análise/avaliação.</w:t>
      </w:r>
    </w:p>
    <w:p w:rsidR="00000000" w:rsidDel="00000000" w:rsidP="00000000" w:rsidRDefault="00000000" w:rsidRPr="00000000" w14:paraId="0000003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pageBreakBefore w:val="0"/>
        <w:numPr>
          <w:ilvl w:val="0"/>
          <w:numId w:val="1"/>
        </w:numPr>
        <w:ind w:left="720" w:hanging="360"/>
      </w:pPr>
      <w:bookmarkStart w:colFirst="0" w:colLast="0" w:name="_obofzk2l7t7u" w:id="5"/>
      <w:bookmarkEnd w:id="5"/>
      <w:r w:rsidDel="00000000" w:rsidR="00000000" w:rsidRPr="00000000">
        <w:rPr>
          <w:rtl w:val="0"/>
        </w:rPr>
        <w:t xml:space="preserve">Tolerância ao risco</w:t>
      </w:r>
    </w:p>
    <w:p w:rsidR="00000000" w:rsidDel="00000000" w:rsidP="00000000" w:rsidRDefault="00000000" w:rsidRPr="00000000" w14:paraId="0000003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Os diretores da área tem a autoridade para criar a sua própria tolerância ao risco, desde que não afete a reputação do WallJobs ou de seu clientes, não afete outro setor, não afete a segurança de nossos colaboradores e leve-se em consideração o risco/ganho não seja maior que </w:t>
      </w:r>
      <w:r w:rsidDel="00000000" w:rsidR="00000000" w:rsidRPr="00000000">
        <w:rPr>
          <w:b w:val="1"/>
          <w:rtl w:val="0"/>
        </w:rPr>
        <w:t xml:space="preserve">médio</w:t>
      </w:r>
      <w:r w:rsidDel="00000000" w:rsidR="00000000" w:rsidRPr="00000000">
        <w:rPr>
          <w:rtl w:val="0"/>
        </w:rPr>
        <w:t xml:space="preserve">. Caso alguma desses cenários ocorra, deve-se recorrer ao board para que a decisão seja tomada.</w:t>
      </w:r>
    </w:p>
    <w:p w:rsidR="00000000" w:rsidDel="00000000" w:rsidP="00000000" w:rsidRDefault="00000000" w:rsidRPr="00000000" w14:paraId="0000003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1710"/>
        <w:gridCol w:w="1520"/>
        <w:gridCol w:w="1520"/>
        <w:gridCol w:w="1520"/>
        <w:gridCol w:w="1520"/>
        <w:gridCol w:w="1520"/>
        <w:tblGridChange w:id="0">
          <w:tblGrid>
            <w:gridCol w:w="960"/>
            <w:gridCol w:w="1710"/>
            <w:gridCol w:w="1520"/>
            <w:gridCol w:w="1520"/>
            <w:gridCol w:w="1520"/>
            <w:gridCol w:w="1520"/>
            <w:gridCol w:w="152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Probabilidade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Avaliação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Menor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Séria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Severa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Maior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Catastrófica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Quase Certo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4 - Provável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Significante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3 - Possível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Significante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2 - Improvável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Baixo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Baixo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Significante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Crítico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Raro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Baixo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Baixo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Consequência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pageBreakBefore w:val="0"/>
        <w:numPr>
          <w:ilvl w:val="0"/>
          <w:numId w:val="1"/>
        </w:numPr>
        <w:ind w:left="720" w:hanging="360"/>
      </w:pPr>
      <w:bookmarkStart w:colFirst="0" w:colLast="0" w:name="_msas8g54clxz" w:id="6"/>
      <w:bookmarkEnd w:id="6"/>
      <w:r w:rsidDel="00000000" w:rsidR="00000000" w:rsidRPr="00000000">
        <w:rPr>
          <w:rtl w:val="0"/>
        </w:rPr>
        <w:t xml:space="preserve">Processo</w:t>
      </w:r>
    </w:p>
    <w:p w:rsidR="00000000" w:rsidDel="00000000" w:rsidP="00000000" w:rsidRDefault="00000000" w:rsidRPr="00000000" w14:paraId="0000007B">
      <w:pPr>
        <w:pageBreakBefore w:val="0"/>
        <w:shd w:fill="ffffff" w:val="clear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Quando verificado um processo com risco, deve-se seguir os seguintes passos:</w:t>
      </w:r>
    </w:p>
    <w:p w:rsidR="00000000" w:rsidDel="00000000" w:rsidP="00000000" w:rsidRDefault="00000000" w:rsidRPr="00000000" w14:paraId="0000007C">
      <w:pPr>
        <w:pageBreakBefore w:val="0"/>
        <w:numPr>
          <w:ilvl w:val="1"/>
          <w:numId w:val="2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estabelecer o contexto;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2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identificar o risco;</w:t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2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analisar o risco;</w:t>
      </w:r>
    </w:p>
    <w:p w:rsidR="00000000" w:rsidDel="00000000" w:rsidP="00000000" w:rsidRDefault="00000000" w:rsidRPr="00000000" w14:paraId="0000007F">
      <w:pPr>
        <w:pageBreakBefore w:val="0"/>
        <w:numPr>
          <w:ilvl w:val="1"/>
          <w:numId w:val="2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avaliar o risco;</w:t>
      </w:r>
    </w:p>
    <w:p w:rsidR="00000000" w:rsidDel="00000000" w:rsidP="00000000" w:rsidRDefault="00000000" w:rsidRPr="00000000" w14:paraId="00000080">
      <w:pPr>
        <w:pageBreakBefore w:val="0"/>
        <w:numPr>
          <w:ilvl w:val="1"/>
          <w:numId w:val="2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tratar o risco;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shd w:fill="ffffff" w:val="clear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monitorar e revisar o risco;</w:t>
      </w:r>
    </w:p>
    <w:p w:rsidR="00000000" w:rsidDel="00000000" w:rsidP="00000000" w:rsidRDefault="00000000" w:rsidRPr="00000000" w14:paraId="00000082">
      <w:pPr>
        <w:pageBreakBefore w:val="0"/>
        <w:shd w:fill="ffffff" w:val="clear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hd w:fill="ffffff" w:val="clear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Qualquer colaborador pode encontrar um risco e notificar, porém o mesmo deve ser avaliado pelo supervisor direto do mesmo.</w:t>
      </w:r>
    </w:p>
    <w:p w:rsidR="00000000" w:rsidDel="00000000" w:rsidP="00000000" w:rsidRDefault="00000000" w:rsidRPr="00000000" w14:paraId="00000084">
      <w:pPr>
        <w:pageBreakBefore w:val="0"/>
        <w:shd w:fill="ffffff" w:val="clear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Antes de registrar um possível risco, deve-se analisar se o mesmo já foi catalogado dentro de nosso sistema, e caso necessário, atualizar com novas informações.</w:t>
      </w:r>
    </w:p>
    <w:p w:rsidR="00000000" w:rsidDel="00000000" w:rsidP="00000000" w:rsidRDefault="00000000" w:rsidRPr="00000000" w14:paraId="00000085">
      <w:pPr>
        <w:pageBreakBefore w:val="0"/>
        <w:shd w:fill="ffffff" w:val="clear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O diretor da área é responsável por acompanhar a evolução/mudanças em relação ao risco. Caso seja um risco “geral” ou compartilhado entre áreas, o board definirá quem será o responsável pelo monitoramento.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53.07086614173232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spacing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319213" cy="587164"/>
          <wp:effectExtent b="0" l="0" r="0" t="0"/>
          <wp:docPr descr="walljobs logo" id="1" name="image1.png"/>
          <a:graphic>
            <a:graphicData uri="http://schemas.openxmlformats.org/drawingml/2006/picture">
              <pic:pic>
                <pic:nvPicPr>
                  <pic:cNvPr descr="walljob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5871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